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7853C" wp14:editId="3DBF0CD7">
                <wp:simplePos x="0" y="0"/>
                <wp:positionH relativeFrom="column">
                  <wp:posOffset>-92909</wp:posOffset>
                </wp:positionH>
                <wp:positionV relativeFrom="paragraph">
                  <wp:posOffset>-415934</wp:posOffset>
                </wp:positionV>
                <wp:extent cx="6280556" cy="1835623"/>
                <wp:effectExtent l="0" t="0" r="635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556" cy="183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2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13"/>
                              <w:gridCol w:w="1944"/>
                            </w:tblGrid>
                            <w:tr w:rsidR="002F20D3" w:rsidTr="00922A91">
                              <w:tc>
                                <w:tcPr>
                                  <w:tcW w:w="3983" w:type="pct"/>
                                </w:tcPr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b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b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hu-HU"/>
                                    </w:rPr>
                                    <w:t>Magyarországi Egyházak Ökumenikus Tanácsa</w:t>
                                  </w:r>
                                </w:p>
                                <w:p w:rsidR="002F20D3" w:rsidRPr="00685C89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Ecumenical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Council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Churches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in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Hungary</w:t>
                                  </w:r>
                                </w:p>
                                <w:p w:rsidR="002F20D3" w:rsidRPr="00685C89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Der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Ökumenische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Rat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Kirchen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in</w:t>
                                  </w:r>
                                  <w:proofErr w:type="spellEnd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C89">
                                    <w:rPr>
                                      <w:rFonts w:ascii="Georgia" w:eastAsia="Times New Roman" w:hAnsi="Georgia" w:cs="Andalus"/>
                                      <w:i/>
                                      <w:kern w:val="0"/>
                                      <w:sz w:val="24"/>
                                      <w:szCs w:val="24"/>
                                      <w:lang w:eastAsia="hu-HU"/>
                                    </w:rPr>
                                    <w:t>Ungarn</w:t>
                                  </w:r>
                                  <w:proofErr w:type="spellEnd"/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hAnsi="Georgia" w:cs="Andalus"/>
                                      <w:i/>
                                    </w:rPr>
                                  </w:pP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H-1117 Budapest, Magyar tudósok körútja 3.</w:t>
                                  </w: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hAnsi="Georgia" w:cs="Andalus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Adószám: 18396041-1-43</w:t>
                                  </w:r>
                                </w:p>
                                <w:p w:rsidR="002F20D3" w:rsidRDefault="002F20D3" w:rsidP="003465E6">
                                  <w:pPr>
                                    <w:pStyle w:val="lfej0"/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</w:pPr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>Tel</w:t>
                                  </w:r>
                                  <w:proofErr w:type="gramStart"/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>.:</w:t>
                                  </w:r>
                                  <w:proofErr w:type="gramEnd"/>
                                  <w:r>
                                    <w:rPr>
                                      <w:rFonts w:ascii="Georgia" w:hAnsi="Georgia" w:cs="Andalus"/>
                                      <w:color w:val="595959" w:themeColor="text1" w:themeTint="A6"/>
                                      <w:sz w:val="20"/>
                                      <w:szCs w:val="20"/>
                                      <w:lang w:eastAsia="bg-BG"/>
                                    </w:rPr>
                                    <w:t xml:space="preserve"> +36 1 371-2690       Fax: +36 1 371-2691</w:t>
                                  </w:r>
                                </w:p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sz w:val="22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E-mail: oikumene@meot.</w:t>
                                  </w:r>
                                  <w:r w:rsidRPr="0019074F">
                                    <w:rPr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lang w:eastAsia="hu-HU"/>
                                    </w:rPr>
                                    <w:t>hu</w:t>
                                  </w:r>
                                  <w:r w:rsidRPr="00922A91">
                                    <w:rPr>
                                      <w:rStyle w:val="Hiperhivatkozs"/>
                                      <w:rFonts w:ascii="Georgia" w:eastAsia="Times New Roman" w:hAnsi="Georgia" w:cs="Andalus"/>
                                      <w:color w:val="auto"/>
                                      <w:kern w:val="0"/>
                                      <w:u w:val="none"/>
                                      <w:lang w:eastAsia="hu-HU"/>
                                    </w:rPr>
                                    <w:t xml:space="preserve"> Honlap: www.meot.hu</w:t>
                                  </w:r>
                                </w:p>
                              </w:tc>
                              <w:tc>
                                <w:tcPr>
                                  <w:tcW w:w="1017" w:type="pct"/>
                                  <w:shd w:val="clear" w:color="auto" w:fill="FFFFFF" w:themeFill="background1"/>
                                  <w:hideMark/>
                                </w:tcPr>
                                <w:p w:rsidR="002F20D3" w:rsidRDefault="002F20D3" w:rsidP="003465E6">
                                  <w:pPr>
                                    <w:pStyle w:val="lfej"/>
                                    <w:spacing w:before="0"/>
                                    <w:jc w:val="right"/>
                                    <w:rPr>
                                      <w:rFonts w:ascii="Georgia" w:hAnsi="Georgia" w:cs="Times New Roman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hu-HU"/>
                                    </w:rPr>
                                    <w:drawing>
                                      <wp:inline distT="0" distB="0" distL="0" distR="0" wp14:anchorId="041D8BDF" wp14:editId="7C8B9385">
                                        <wp:extent cx="1206881" cy="1238311"/>
                                        <wp:effectExtent l="0" t="0" r="0" b="0"/>
                                        <wp:docPr id="1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0798" cy="1242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F20D3" w:rsidRDefault="002F20D3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F20D3" w:rsidRPr="002F20D3" w:rsidRDefault="002F20D3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President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Bish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op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 József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Steinbach</w:t>
                            </w:r>
                            <w:proofErr w:type="spellEnd"/>
                          </w:p>
                          <w:p w:rsidR="002F20D3" w:rsidRDefault="002F20D3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Secretary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Rev</w:t>
                            </w:r>
                            <w:proofErr w:type="spellEnd"/>
                            <w:r w:rsidRPr="002F20D3"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  <w:t>. Dr. Vilmos Fischl</w:t>
                            </w:r>
                          </w:p>
                          <w:p w:rsidR="00922A91" w:rsidRPr="002F20D3" w:rsidRDefault="00922A91" w:rsidP="002F20D3">
                            <w:pPr>
                              <w:spacing w:after="0" w:line="240" w:lineRule="auto"/>
                              <w:rPr>
                                <w:rFonts w:ascii="Georgia" w:hAnsi="Georg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853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7.3pt;margin-top:-32.75pt;width:494.5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" fillcolor="white [3201]" stroked="f" strokeweight=".5pt">
                <v:textbox>
                  <w:txbxContent>
                    <w:tbl>
                      <w:tblPr>
                        <w:tblW w:w="4982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13"/>
                        <w:gridCol w:w="1944"/>
                      </w:tblGrid>
                      <w:tr w:rsidR="002F20D3" w:rsidTr="00922A91">
                        <w:tc>
                          <w:tcPr>
                            <w:tcW w:w="3983" w:type="pct"/>
                          </w:tcPr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eastAsia="hu-HU"/>
                              </w:rPr>
                              <w:t>Magyarországi Egyházak Ökumenikus Tanácsa</w:t>
                            </w:r>
                          </w:p>
                          <w:p w:rsidR="002F20D3" w:rsidRPr="00685C89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The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Ecumenical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Council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of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Churches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in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Hungary</w:t>
                            </w:r>
                          </w:p>
                          <w:p w:rsidR="002F20D3" w:rsidRPr="00685C89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Der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Ökumenische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Rat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der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Kirchen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in</w:t>
                            </w:r>
                            <w:proofErr w:type="spellEnd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685C89">
                              <w:rPr>
                                <w:rFonts w:ascii="Georgia" w:eastAsia="Times New Roman" w:hAnsi="Georgia" w:cs="Andalus"/>
                                <w:i/>
                                <w:kern w:val="0"/>
                                <w:sz w:val="24"/>
                                <w:szCs w:val="24"/>
                                <w:lang w:eastAsia="hu-HU"/>
                              </w:rPr>
                              <w:t>Ungarn</w:t>
                            </w:r>
                            <w:proofErr w:type="spellEnd"/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hAnsi="Georgia" w:cs="Andalus"/>
                                <w:i/>
                              </w:rPr>
                            </w:pP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H-1117 Budapest, Magyar tudósok körútja 3.</w:t>
                            </w: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hAnsi="Georgia" w:cs="Andalus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Adószám: 18396041-1-43</w:t>
                            </w:r>
                          </w:p>
                          <w:p w:rsidR="002F20D3" w:rsidRDefault="002F20D3" w:rsidP="003465E6">
                            <w:pPr>
                              <w:pStyle w:val="lfej0"/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</w:pPr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Georgia" w:hAnsi="Georgia" w:cs="Andalus"/>
                                <w:color w:val="595959" w:themeColor="text1" w:themeTint="A6"/>
                                <w:sz w:val="20"/>
                                <w:szCs w:val="20"/>
                                <w:lang w:eastAsia="bg-BG"/>
                              </w:rPr>
                              <w:t xml:space="preserve"> +36 1 371-2690       Fax: +36 1 371-2691</w:t>
                            </w:r>
                          </w:p>
                          <w:p w:rsidR="002F20D3" w:rsidRDefault="002F20D3" w:rsidP="003465E6">
                            <w:pPr>
                              <w:pStyle w:val="lfej"/>
                              <w:spacing w:before="0"/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sz w:val="22"/>
                                <w:lang w:eastAsia="hu-HU"/>
                              </w:rPr>
                            </w:pPr>
                            <w:r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E-mail: oikumene@meot.</w:t>
                            </w:r>
                            <w:r w:rsidRPr="0019074F">
                              <w:rPr>
                                <w:rFonts w:ascii="Georgia" w:eastAsia="Times New Roman" w:hAnsi="Georgia" w:cs="Andalus"/>
                                <w:color w:val="auto"/>
                                <w:kern w:val="0"/>
                                <w:lang w:eastAsia="hu-HU"/>
                              </w:rPr>
                              <w:t>hu</w:t>
                            </w:r>
                            <w:r w:rsidRPr="00922A91">
                              <w:rPr>
                                <w:rStyle w:val="Hiperhivatkozs"/>
                                <w:rFonts w:ascii="Georgia" w:eastAsia="Times New Roman" w:hAnsi="Georgia" w:cs="Andalus"/>
                                <w:color w:val="auto"/>
                                <w:kern w:val="0"/>
                                <w:u w:val="none"/>
                                <w:lang w:eastAsia="hu-HU"/>
                              </w:rPr>
                              <w:t xml:space="preserve"> Honlap: www.meot.hu</w:t>
                            </w:r>
                          </w:p>
                        </w:tc>
                        <w:tc>
                          <w:tcPr>
                            <w:tcW w:w="1017" w:type="pct"/>
                            <w:shd w:val="clear" w:color="auto" w:fill="FFFFFF" w:themeFill="background1"/>
                            <w:hideMark/>
                          </w:tcPr>
                          <w:p w:rsidR="002F20D3" w:rsidRDefault="002F20D3" w:rsidP="003465E6">
                            <w:pPr>
                              <w:pStyle w:val="lfej"/>
                              <w:spacing w:before="0"/>
                              <w:jc w:val="right"/>
                              <w:rPr>
                                <w:rFonts w:ascii="Georgia" w:hAnsi="Georgia" w:cs="Times New Roman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41D8BDF" wp14:editId="7C8B9385">
                                  <wp:extent cx="1206881" cy="1238311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798" cy="1242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F20D3" w:rsidRDefault="002F20D3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</w:p>
                    <w:p w:rsidR="002F20D3" w:rsidRPr="002F20D3" w:rsidRDefault="002F20D3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President</w:t>
                      </w:r>
                      <w:proofErr w:type="spellEnd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Bish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op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 xml:space="preserve"> József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Steinbach</w:t>
                      </w:r>
                      <w:proofErr w:type="spellEnd"/>
                    </w:p>
                    <w:p w:rsidR="002F20D3" w:rsidRDefault="002F20D3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 xml:space="preserve">General </w:t>
                      </w:r>
                      <w:proofErr w:type="spellStart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Secretary</w:t>
                      </w:r>
                      <w:proofErr w:type="spellEnd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Rev</w:t>
                      </w:r>
                      <w:proofErr w:type="spellEnd"/>
                      <w:r w:rsidRPr="002F20D3"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  <w:t>. Dr. Vilmos Fischl</w:t>
                      </w:r>
                    </w:p>
                    <w:p w:rsidR="00922A91" w:rsidRPr="002F20D3" w:rsidRDefault="00922A91" w:rsidP="002F20D3">
                      <w:pPr>
                        <w:spacing w:after="0" w:line="240" w:lineRule="auto"/>
                        <w:rPr>
                          <w:rFonts w:ascii="Georgia" w:hAnsi="Georgi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2D3" w:rsidRDefault="00B732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0D3" w:rsidRDefault="002F20D3" w:rsidP="002F2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27F" w:rsidRDefault="00B0027F" w:rsidP="005B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063" w:rsidRDefault="007471F9" w:rsidP="005B7D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21513</wp:posOffset>
                </wp:positionH>
                <wp:positionV relativeFrom="paragraph">
                  <wp:posOffset>16408</wp:posOffset>
                </wp:positionV>
                <wp:extent cx="6056985" cy="0"/>
                <wp:effectExtent l="0" t="0" r="127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82C85"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3pt" to="478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" strokecolor="#5a5a5a [2109]" strokeweight="1pt">
                <v:stroke dashstyle="1 1"/>
              </v:line>
            </w:pict>
          </mc:Fallback>
        </mc:AlternateContent>
      </w:r>
      <w:r w:rsidR="005B7D31"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B7D31" w:rsidRPr="005B7D31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                              </w:t>
      </w:r>
      <w:r w:rsidR="00B0027F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                                                                     </w:t>
      </w:r>
    </w:p>
    <w:p w:rsidR="005B7D31" w:rsidRPr="005B7D31" w:rsidRDefault="00B06063" w:rsidP="00B060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6063">
        <w:rPr>
          <w:rFonts w:ascii="Times New Roman" w:eastAsia="Times New Roman" w:hAnsi="Times New Roman" w:cs="Times New Roman"/>
          <w:szCs w:val="24"/>
          <w:lang w:eastAsia="hu-HU"/>
        </w:rPr>
        <w:t>Ikt</w:t>
      </w:r>
      <w:proofErr w:type="spellEnd"/>
      <w:r w:rsidRPr="00B06063">
        <w:rPr>
          <w:rFonts w:ascii="Times New Roman" w:eastAsia="Times New Roman" w:hAnsi="Times New Roman" w:cs="Times New Roman"/>
          <w:szCs w:val="24"/>
          <w:lang w:eastAsia="hu-HU"/>
        </w:rPr>
        <w:t xml:space="preserve">. </w:t>
      </w:r>
      <w:proofErr w:type="spellStart"/>
      <w:r w:rsidRPr="00B06063">
        <w:rPr>
          <w:rFonts w:ascii="Times New Roman" w:eastAsia="Times New Roman" w:hAnsi="Times New Roman" w:cs="Times New Roman"/>
          <w:szCs w:val="24"/>
          <w:lang w:eastAsia="hu-HU"/>
        </w:rPr>
        <w:t>sz</w:t>
      </w:r>
      <w:proofErr w:type="spellEnd"/>
      <w:r w:rsidRPr="00B06063">
        <w:rPr>
          <w:rFonts w:ascii="Times New Roman" w:eastAsia="Times New Roman" w:hAnsi="Times New Roman" w:cs="Times New Roman"/>
          <w:szCs w:val="24"/>
          <w:lang w:eastAsia="hu-HU"/>
        </w:rPr>
        <w:t>: 2018/18</w:t>
      </w:r>
      <w:r w:rsidR="005B7D31" w:rsidRPr="00B06063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7D31" w:rsidRP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Kedves Testvérek!</w:t>
      </w:r>
    </w:p>
    <w:p w:rsidR="005B7D31" w:rsidRPr="005B7D31" w:rsidRDefault="005B7D31" w:rsidP="005B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5B7D31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Szeretettel hívunk Benneteket ez évi lelkészi (és munkatársi) missziói konferenciánkra, amelyet</w:t>
      </w:r>
    </w:p>
    <w:p w:rsidR="005B7D31" w:rsidRPr="005B7D31" w:rsidRDefault="005B7D31" w:rsidP="005B7D3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5B7D31" w:rsidRPr="005B7D31" w:rsidRDefault="005B7D31" w:rsidP="00B0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Révfülöpön az </w:t>
      </w:r>
      <w:proofErr w:type="spellStart"/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Ordass</w:t>
      </w:r>
      <w:proofErr w:type="spellEnd"/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Lajos Evangélikus Oktatási Központban</w:t>
      </w:r>
      <w:r w:rsidR="00B0027F" w:rsidRPr="00B0027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tartunk</w:t>
      </w:r>
    </w:p>
    <w:p w:rsidR="005B7D31" w:rsidRPr="00B0027F" w:rsidRDefault="005B7D31" w:rsidP="00B0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4"/>
          <w:lang w:eastAsia="hu-HU"/>
        </w:rPr>
        <w:t>2018. június 25-29. között</w:t>
      </w:r>
    </w:p>
    <w:p w:rsidR="00B0027F" w:rsidRPr="005B7D31" w:rsidRDefault="00B0027F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color w:val="595959" w:themeColor="text1" w:themeTint="A6"/>
          <w:szCs w:val="24"/>
          <w:lang w:eastAsia="hu-HU"/>
        </w:rPr>
        <w:t>(8253 Révfülöp, Füredi út 1.)</w:t>
      </w:r>
    </w:p>
    <w:p w:rsidR="005B7D31" w:rsidRP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5B7D31" w:rsidRPr="005B7D31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Szokásunkhoz híven, idén is június utolsó hetében tartjuk missziói-lelkészi konferenciánkat Révfülöpön. Az érkezőket június 25-én, hétfőn délu</w:t>
      </w:r>
      <w:r w:rsidR="003E1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tán várjuk, melyre 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munkatársaitokat is szívesen látjuk. Közös programunk</w:t>
      </w:r>
      <w:r w:rsidR="007810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hétfőn vacsorával kezdődik, és 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pénteken ebéddel fejeződik be. A 2018-as év központi igéje és témája:</w:t>
      </w:r>
    </w:p>
    <w:p w:rsidR="005B7D31" w:rsidRPr="005B7D31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787B7D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  <w:t>„Tegyetek tanítvánnyá minden népet” /Máté 28,19a/</w:t>
      </w:r>
    </w:p>
    <w:p w:rsidR="005B7D31" w:rsidRPr="00787B7D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  <w:t xml:space="preserve">Az </w:t>
      </w:r>
      <w:proofErr w:type="spellStart"/>
      <w:r w:rsidRPr="00787B7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  <w:t>evangélizáció</w:t>
      </w:r>
      <w:proofErr w:type="spellEnd"/>
      <w:r w:rsidRPr="00787B7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hu-HU"/>
        </w:rPr>
        <w:t xml:space="preserve"> gyakorlata</w:t>
      </w:r>
    </w:p>
    <w:p w:rsidR="005B7D31" w:rsidRPr="005B7D31" w:rsidRDefault="005B7D31" w:rsidP="005B7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1043" w:rsidRPr="00787B7D" w:rsidRDefault="00495095" w:rsidP="007810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téma mindig aktuális. Jézus az egyik legfontosabb feladatának tartotta, hogy tanítványokat hívjon el és tanítson. Az 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evangéliumokban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olvasható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Jézus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időt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energiát és türelmet 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 sajnálva vett részt tanítványai életében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válaszolt </w:t>
      </w:r>
      <w:r w:rsidR="00C92807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kérdéseikre, példát mutatott nekik. </w:t>
      </w:r>
      <w:r w:rsidR="00ED363C" w:rsidRPr="00787B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 tanítványság egy olyan hagyomány, amelyet Krisztus kezdett el és az ő példáját követve folytatnunk kell,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 kevés időt é</w:t>
      </w:r>
      <w:r w:rsidR="00ED363C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s odafigyelést rászánva.</w:t>
      </w:r>
    </w:p>
    <w:p w:rsidR="005B7D31" w:rsidRPr="00787B7D" w:rsidRDefault="00781043" w:rsidP="00C26F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konferencia lényege, hogy a mindennapos szolgálaton és az egyéni személyes Biblia tanulmányozáson túl </w:t>
      </w:r>
      <w:r w:rsidR="00C26FE5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tematika mentén felépített felkészítőn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kötött előadások mellett, kötetlen beszélgetések és tapasztalatcs</w:t>
      </w:r>
      <w:r w:rsidR="00C26FE5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erék alakuljanak ki az öt nap folyamán.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26FE5" w:rsidRPr="00787B7D" w:rsidRDefault="00C26FE5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A konferencián az Igetanulmányokat a Magyarországi Egyházak Ökumenikus Tanácsához</w:t>
      </w:r>
      <w:r w:rsidR="00787B7D"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 </w:t>
      </w:r>
      <w:r w:rsidR="00787B7D"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br/>
        <w:t>(MEÖT)</w:t>
      </w:r>
      <w:r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 tartozó tagegyházi vezetők tartják. A délelőtti előadásokat és a délutáni cso</w:t>
      </w:r>
      <w:r w:rsidR="00787B7D"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portfoglalkozásokat pedig a </w:t>
      </w:r>
      <w:proofErr w:type="spellStart"/>
      <w:r w:rsidR="00787B7D"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MEÖT-höz</w:t>
      </w:r>
      <w:proofErr w:type="spellEnd"/>
      <w:r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 </w:t>
      </w:r>
      <w:r w:rsidR="00787B7D"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tarozó tagegyházak lelkészei végzik.</w:t>
      </w:r>
      <w:r w:rsidRPr="00787B7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 </w:t>
      </w:r>
    </w:p>
    <w:p w:rsidR="005B7D31" w:rsidRPr="00787B7D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B7D31" w:rsidRPr="00375AF9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</w:pPr>
      <w:r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Kérjük, hogy imádsággal készüljetek konferenciánkra</w:t>
      </w:r>
      <w:r w:rsidR="00375AF9"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 xml:space="preserve">, hogy </w:t>
      </w:r>
      <w:r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a Szentlélek segítségé</w:t>
      </w:r>
      <w:r w:rsidR="00375AF9" w:rsidRPr="00375AF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u-HU"/>
        </w:rPr>
        <w:t>vel épüljünk és tanuljunk egymás tapasztalatából.</w:t>
      </w:r>
    </w:p>
    <w:p w:rsidR="005B7D31" w:rsidRPr="00787B7D" w:rsidRDefault="005B7D31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B7D31" w:rsidRPr="00787B7D" w:rsidRDefault="00C26FE5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Ócsa, 2018</w:t>
      </w:r>
      <w:r w:rsidR="005A6EDC">
        <w:rPr>
          <w:rFonts w:ascii="Times New Roman" w:eastAsia="Times New Roman" w:hAnsi="Times New Roman" w:cs="Times New Roman"/>
          <w:sz w:val="24"/>
          <w:szCs w:val="24"/>
          <w:lang w:eastAsia="hu-HU"/>
        </w:rPr>
        <w:t>. február 8</w:t>
      </w:r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87B7D" w:rsidRDefault="005B7D31" w:rsidP="005B7D3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</w:t>
      </w:r>
      <w:bookmarkStart w:id="0" w:name="_GoBack"/>
      <w:bookmarkEnd w:id="0"/>
    </w:p>
    <w:p w:rsidR="005B7D31" w:rsidRPr="00787B7D" w:rsidRDefault="005B7D31" w:rsidP="005B7D3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</w:t>
      </w: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szervezők nevében:</w:t>
      </w:r>
    </w:p>
    <w:p w:rsidR="005B7D31" w:rsidRPr="00787B7D" w:rsidRDefault="00787B7D" w:rsidP="005B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B7D31" w:rsidRPr="00787B7D" w:rsidRDefault="005B7D31" w:rsidP="005B7D31">
      <w:pPr>
        <w:tabs>
          <w:tab w:val="center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Nemeshegyi</w:t>
      </w:r>
      <w:proofErr w:type="spellEnd"/>
      <w:r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Zoltán</w:t>
      </w:r>
    </w:p>
    <w:p w:rsidR="0092323D" w:rsidRPr="00787B7D" w:rsidRDefault="00787B7D" w:rsidP="00787B7D">
      <w:pPr>
        <w:tabs>
          <w:tab w:val="center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MEÖT Missziói Bizottság elnök</w:t>
      </w:r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5B7D31" w:rsidRPr="00787B7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92323D" w:rsidRPr="00787B7D" w:rsidSect="00922A91">
      <w:pgSz w:w="11906" w:h="16838"/>
      <w:pgMar w:top="1418" w:right="1049" w:bottom="1418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56D0E"/>
    <w:multiLevelType w:val="multilevel"/>
    <w:tmpl w:val="0A12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3"/>
    <w:rsid w:val="00127213"/>
    <w:rsid w:val="002404E5"/>
    <w:rsid w:val="0028375D"/>
    <w:rsid w:val="002F20D3"/>
    <w:rsid w:val="00375AF9"/>
    <w:rsid w:val="003E1B73"/>
    <w:rsid w:val="00495095"/>
    <w:rsid w:val="005A6EDC"/>
    <w:rsid w:val="005B7D31"/>
    <w:rsid w:val="00685C89"/>
    <w:rsid w:val="006966E5"/>
    <w:rsid w:val="007471F9"/>
    <w:rsid w:val="00781043"/>
    <w:rsid w:val="00787B7D"/>
    <w:rsid w:val="008407D1"/>
    <w:rsid w:val="00922A91"/>
    <w:rsid w:val="0092323D"/>
    <w:rsid w:val="00B0027F"/>
    <w:rsid w:val="00B06063"/>
    <w:rsid w:val="00B732D3"/>
    <w:rsid w:val="00C26FE5"/>
    <w:rsid w:val="00C92807"/>
    <w:rsid w:val="00E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B559F-839B-4E0C-8778-FA160A7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">
    <w:name w:val="élőfej"/>
    <w:basedOn w:val="Norml"/>
    <w:link w:val="lfejkaraktere"/>
    <w:uiPriority w:val="99"/>
    <w:unhideWhenUsed/>
    <w:qFormat/>
    <w:rsid w:val="002F20D3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bg-BG"/>
    </w:rPr>
  </w:style>
  <w:style w:type="character" w:customStyle="1" w:styleId="lfejkaraktere">
    <w:name w:val="Élőfej karaktere"/>
    <w:basedOn w:val="Bekezdsalapbettpusa"/>
    <w:link w:val="lfej"/>
    <w:uiPriority w:val="99"/>
    <w:rsid w:val="002F20D3"/>
    <w:rPr>
      <w:color w:val="595959" w:themeColor="text1" w:themeTint="A6"/>
      <w:kern w:val="20"/>
      <w:sz w:val="20"/>
      <w:szCs w:val="20"/>
      <w:lang w:eastAsia="bg-BG"/>
    </w:rPr>
  </w:style>
  <w:style w:type="paragraph" w:styleId="lfej0">
    <w:name w:val="header"/>
    <w:basedOn w:val="Norml"/>
    <w:link w:val="lfejChar"/>
    <w:rsid w:val="002F20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0"/>
    <w:rsid w:val="002F20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F20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2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61B3-4E4C-40EB-9AA0-07517027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X230</dc:creator>
  <cp:lastModifiedBy>Meöt</cp:lastModifiedBy>
  <cp:revision>11</cp:revision>
  <dcterms:created xsi:type="dcterms:W3CDTF">2018-01-16T10:24:00Z</dcterms:created>
  <dcterms:modified xsi:type="dcterms:W3CDTF">2018-02-07T11:09:00Z</dcterms:modified>
</cp:coreProperties>
</file>